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B5CD20" w14:textId="77777777" w:rsidR="005D3EDF" w:rsidRDefault="00C82E22">
      <w:pPr>
        <w:pStyle w:val="Ttulo3"/>
        <w:ind w:left="-426"/>
        <w:jc w:val="center"/>
      </w:pPr>
      <w:r>
        <w:t>INFORME DE GESTIÓN CONTRATO DE PRESTACIÓN DE SERVICIOS</w:t>
      </w:r>
    </w:p>
    <w:p w14:paraId="188B158D" w14:textId="77777777" w:rsidR="005D3EDF" w:rsidRDefault="005D3EDF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3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700"/>
        <w:gridCol w:w="2940"/>
        <w:gridCol w:w="4395"/>
      </w:tblGrid>
      <w:tr w:rsidR="005D3EDF" w14:paraId="1B9B1A52" w14:textId="77777777">
        <w:trPr>
          <w:trHeight w:val="545"/>
          <w:jc w:val="center"/>
        </w:trPr>
        <w:tc>
          <w:tcPr>
            <w:tcW w:w="100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AC67C4B" w14:textId="6F5FDE0E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</w:t>
            </w:r>
            <w:r w:rsidR="00596408">
              <w:rPr>
                <w:rFonts w:ascii="Arial" w:eastAsia="Arial" w:hAnsi="Arial" w:cs="Arial"/>
                <w:b/>
                <w:color w:val="000000"/>
              </w:rPr>
              <w:t>–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 </w:t>
            </w:r>
            <w:r w:rsidR="00A064BB">
              <w:rPr>
                <w:rFonts w:ascii="Arial" w:eastAsia="Arial" w:hAnsi="Arial" w:cs="Arial"/>
                <w:b/>
                <w:color w:val="000000"/>
              </w:rPr>
              <w:t xml:space="preserve">SUBSECRETARÍA DE </w:t>
            </w:r>
            <w:r w:rsidR="00617ACF">
              <w:rPr>
                <w:rFonts w:ascii="Arial" w:eastAsia="Arial" w:hAnsi="Arial" w:cs="Arial"/>
                <w:b/>
                <w:color w:val="000000"/>
              </w:rPr>
              <w:t>INFRAESTRUCTURA</w:t>
            </w:r>
          </w:p>
        </w:tc>
      </w:tr>
      <w:tr w:rsidR="005D3EDF" w14:paraId="6C6D8352" w14:textId="77777777">
        <w:trPr>
          <w:trHeight w:val="444"/>
          <w:jc w:val="center"/>
        </w:trPr>
        <w:tc>
          <w:tcPr>
            <w:tcW w:w="564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84D83CC" w14:textId="77777777" w:rsidR="005D3EDF" w:rsidRDefault="00C82E22">
            <w:pPr>
              <w:pStyle w:val="Ttulo1"/>
              <w:jc w:val="center"/>
              <w:rPr>
                <w:szCs w:val="24"/>
              </w:rPr>
            </w:pPr>
            <w:r>
              <w:rPr>
                <w:szCs w:val="24"/>
                <w:highlight w:val="lightGray"/>
              </w:rPr>
              <w:t>DATOS BÁSICOS CONTRATO</w:t>
            </w:r>
          </w:p>
        </w:tc>
        <w:tc>
          <w:tcPr>
            <w:tcW w:w="439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C5F1F1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5D3EDF" w14:paraId="0B575F7D" w14:textId="77777777">
              <w:trPr>
                <w:trHeight w:val="333"/>
              </w:trPr>
              <w:tc>
                <w:tcPr>
                  <w:tcW w:w="3212" w:type="dxa"/>
                </w:tcPr>
                <w:p w14:paraId="04DF734F" w14:textId="77777777" w:rsidR="005D3EDF" w:rsidRDefault="00C82E22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31F70452" w14:textId="452FF2DB" w:rsidR="005D3EDF" w:rsidRDefault="00617ACF" w:rsidP="00485AA5">
            <w:pPr>
              <w:jc w:val="both"/>
              <w:rPr>
                <w:rFonts w:ascii="Arial" w:eastAsia="Arial" w:hAnsi="Arial" w:cs="Arial"/>
              </w:rPr>
            </w:pPr>
            <w:r w:rsidRPr="00617ACF">
              <w:rPr>
                <w:rFonts w:ascii="Arial" w:eastAsia="Arial" w:hAnsi="Arial" w:cs="Arial"/>
              </w:rPr>
              <w:t>Prestación de servicios profesionales en la Secretaria del Deporte y la Recreación del proyecto denominado Conservación de la infraestructura deportiva y recreativa del distrito especial de Santiago de Cali BP – 26005399.</w:t>
            </w:r>
          </w:p>
        </w:tc>
      </w:tr>
      <w:tr w:rsidR="005D3EDF" w14:paraId="04714D09" w14:textId="77777777">
        <w:trPr>
          <w:trHeight w:val="40"/>
          <w:jc w:val="center"/>
        </w:trPr>
        <w:tc>
          <w:tcPr>
            <w:tcW w:w="27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053D035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A675EFD" w14:textId="6ED1673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617ACF">
              <w:rPr>
                <w:rFonts w:ascii="Arial" w:eastAsia="Arial" w:hAnsi="Arial" w:cs="Arial"/>
                <w:color w:val="000000"/>
              </w:rPr>
              <w:t>4735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B3F2AB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7D9D759E" w14:textId="77777777">
        <w:trPr>
          <w:trHeight w:val="40"/>
          <w:jc w:val="center"/>
        </w:trPr>
        <w:tc>
          <w:tcPr>
            <w:tcW w:w="27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9A50D9E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C08147B" w14:textId="2244DFDC" w:rsidR="005D3EDF" w:rsidRDefault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 w:rsidRPr="004B4A08">
              <w:rPr>
                <w:rFonts w:ascii="Arial" w:hAnsi="Arial" w:cs="Arial"/>
              </w:rPr>
              <w:t>KRYSTHIAN DAVID RAMIREZ MUNEVAR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06815B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5D3EDF" w14:paraId="42C03E18" w14:textId="77777777">
        <w:trPr>
          <w:trHeight w:val="40"/>
          <w:jc w:val="center"/>
        </w:trPr>
        <w:tc>
          <w:tcPr>
            <w:tcW w:w="27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CB62E74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420DBF4" w14:textId="0F927AED" w:rsidR="005D3EDF" w:rsidRDefault="00A064B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MAYRA ALEJANDRA YAGUE ORDOÑEZ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BA2E1E0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5D3EDF" w14:paraId="4938EC59" w14:textId="77777777">
        <w:trPr>
          <w:trHeight w:val="40"/>
          <w:jc w:val="center"/>
        </w:trPr>
        <w:tc>
          <w:tcPr>
            <w:tcW w:w="27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41AF1E3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8BE8321" w14:textId="13A63955" w:rsidR="005D3EDF" w:rsidRDefault="00A064B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1107093010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B977E2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78E793FA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7CFE49B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D81D2B7" w14:textId="52819474" w:rsidR="005D3EDF" w:rsidRDefault="00A064B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 w:rsidR="00617ACF">
              <w:rPr>
                <w:rFonts w:ascii="Arial" w:eastAsia="Arial" w:hAnsi="Arial" w:cs="Arial"/>
                <w:color w:val="000000"/>
              </w:rPr>
              <w:t>16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617ACF">
              <w:rPr>
                <w:rFonts w:ascii="Arial" w:eastAsia="Arial" w:hAnsi="Arial" w:cs="Arial"/>
                <w:color w:val="000000"/>
              </w:rPr>
              <w:t>33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7DB077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293DBB91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724DA59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BD98458" w14:textId="46EC9619" w:rsidR="005D3EDF" w:rsidRDefault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</w:t>
            </w:r>
            <w:r w:rsidR="00C82E22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C82E22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B6C8AF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41A3A4FA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05162EC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D4CC8E3" w14:textId="6202BF95" w:rsidR="005D3EDF" w:rsidRDefault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C82E22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C82E22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5C35513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74084A61" w14:textId="77777777">
        <w:trPr>
          <w:trHeight w:val="333"/>
          <w:jc w:val="center"/>
        </w:trPr>
        <w:tc>
          <w:tcPr>
            <w:tcW w:w="564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3DFCD3F3" w14:textId="77777777" w:rsidR="005D3EDF" w:rsidRDefault="00C82E22">
            <w:pPr>
              <w:pStyle w:val="Ttulo1"/>
              <w:jc w:val="center"/>
              <w:rPr>
                <w:szCs w:val="24"/>
              </w:rPr>
            </w:pPr>
            <w:r>
              <w:rPr>
                <w:szCs w:val="24"/>
              </w:rPr>
              <w:t>SEGURIDAD SOCIAL</w:t>
            </w:r>
          </w:p>
        </w:tc>
        <w:tc>
          <w:tcPr>
            <w:tcW w:w="439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5BF5E8" w14:textId="77777777" w:rsidR="005D3EDF" w:rsidRDefault="00C82E2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DF59CF3" w14:textId="77777777" w:rsidR="005D3EDF" w:rsidRDefault="00C82E2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292DDB0" w14:textId="7BD8DEDA" w:rsidR="005D3EDF" w:rsidRDefault="00C82E2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9746AE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14:paraId="774F6062" w14:textId="4C36E9C6" w:rsidR="005D3EDF" w:rsidRDefault="00C82E2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9746AE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 Anticipada</w:t>
            </w:r>
          </w:p>
          <w:p w14:paraId="3B317953" w14:textId="77777777" w:rsidR="005D3EDF" w:rsidRDefault="00C82E2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</w:tc>
      </w:tr>
      <w:tr w:rsidR="005D3EDF" w14:paraId="177E721A" w14:textId="77777777">
        <w:trPr>
          <w:trHeight w:val="40"/>
          <w:jc w:val="center"/>
        </w:trPr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1A5449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62067D5" w14:textId="77777777" w:rsidR="005D3EDF" w:rsidRDefault="005D3E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43C4532" w14:textId="572D580A" w:rsidR="00166D93" w:rsidRDefault="00166D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3781E2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6111ABDE" w14:textId="77777777">
        <w:trPr>
          <w:trHeight w:val="40"/>
          <w:jc w:val="center"/>
        </w:trPr>
        <w:tc>
          <w:tcPr>
            <w:tcW w:w="270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8EC0F5B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4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31613F0" w14:textId="11F7D0A0" w:rsidR="005D3EDF" w:rsidRDefault="00166D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07BE05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385D6000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DFB4C9F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CB75BF6" w14:textId="6B0B443B" w:rsidR="005D3EDF" w:rsidRDefault="00166D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4FAAEF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35643E21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138BD48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C278D4" w14:textId="2A45732C" w:rsidR="005D3EDF" w:rsidRDefault="00166D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7A238A7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7C41D780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1B03B32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0DBEABF" w14:textId="45603839" w:rsidR="005D3EDF" w:rsidRDefault="00166D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C96559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066FBAEA" w14:textId="77777777">
        <w:trPr>
          <w:trHeight w:val="40"/>
          <w:jc w:val="center"/>
        </w:trPr>
        <w:tc>
          <w:tcPr>
            <w:tcW w:w="270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4F55758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4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3247899" w14:textId="1759C95D" w:rsidR="005D3EDF" w:rsidRDefault="00166D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39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933772D" w14:textId="77777777" w:rsidR="005D3EDF" w:rsidRDefault="005D3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D3EDF" w14:paraId="775459D7" w14:textId="77777777">
        <w:trPr>
          <w:trHeight w:val="1405"/>
          <w:jc w:val="center"/>
        </w:trPr>
        <w:tc>
          <w:tcPr>
            <w:tcW w:w="1003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7625404" w14:textId="1C4E724F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</w:t>
            </w:r>
            <w:r w:rsidR="00A064BB">
              <w:rPr>
                <w:rFonts w:ascii="Arial" w:eastAsia="Arial" w:hAnsi="Arial" w:cs="Arial"/>
                <w:b/>
                <w:color w:val="000000"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623DC8FC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5D3EDF" w14:paraId="5A0555D5" w14:textId="77777777">
        <w:trPr>
          <w:trHeight w:val="40"/>
          <w:jc w:val="center"/>
        </w:trPr>
        <w:tc>
          <w:tcPr>
            <w:tcW w:w="564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A077554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439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B2D0AD5" w14:textId="77777777" w:rsidR="005D3EDF" w:rsidRDefault="00C82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617ACF" w14:paraId="4EBAB56F" w14:textId="77777777" w:rsidTr="000F261E">
        <w:trPr>
          <w:trHeight w:val="1900"/>
          <w:jc w:val="center"/>
        </w:trPr>
        <w:tc>
          <w:tcPr>
            <w:tcW w:w="564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2E84A3D" w14:textId="77777777" w:rsidR="00617ACF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MT" w:eastAsia="Calibri" w:hAnsi="ArialMT" w:cs="ArialMT"/>
                <w:lang w:eastAsia="es-CO"/>
              </w:rPr>
            </w:pPr>
            <w:r>
              <w:rPr>
                <w:rFonts w:ascii="ArialMT" w:eastAsia="Calibri" w:hAnsi="ArialMT" w:cs="ArialMT"/>
                <w:lang w:eastAsia="es-CO"/>
              </w:rPr>
              <w:t xml:space="preserve">1. </w:t>
            </w:r>
            <w:r w:rsidRPr="004B4A08">
              <w:rPr>
                <w:rFonts w:ascii="ArialMT" w:eastAsia="Calibri" w:hAnsi="ArialMT" w:cs="ArialMT"/>
                <w:lang w:eastAsia="es-CO"/>
              </w:rPr>
              <w:t>Ejecutar acciones de gestión de la calidad orientadas a favorecer el uso adecuado de la infraestructura deportiva y recreativa del Distrito Especial de Santiago de Cali, garantizando el cumplimiento de criterios de seguridad, accesibilidad e inclusión. Para tal fin, se llevará a cabo autodiagnóstico, revisión documental y visitas en campo, con el propósito de analizar el desempeño institucional, identificar brechas y asegurar la mejora continua de los procesos en las diferentes líneas de servicio.</w:t>
            </w:r>
            <w:r>
              <w:rPr>
                <w:rFonts w:ascii="ArialMT" w:eastAsia="Calibri" w:hAnsi="ArialMT" w:cs="ArialMT"/>
                <w:lang w:eastAsia="es-CO"/>
              </w:rPr>
              <w:t xml:space="preserve"> </w:t>
            </w:r>
          </w:p>
          <w:p w14:paraId="42C5E4A1" w14:textId="3474E2FF" w:rsidR="00617ACF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MT" w:eastAsia="Calibri" w:hAnsi="ArialMT" w:cs="ArialMT"/>
                <w:lang w:eastAsia="es-CO"/>
              </w:rPr>
            </w:pPr>
          </w:p>
          <w:p w14:paraId="1888169E" w14:textId="41A1F071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439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5C1BBC24" w14:textId="77777777" w:rsidR="00617ACF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2F0D8FDE" w14:textId="3EA7430F" w:rsidR="00617ACF" w:rsidRPr="00ED0530" w:rsidRDefault="00617ACF" w:rsidP="00617ACF">
            <w:pPr>
              <w:widowControl/>
              <w:numPr>
                <w:ilvl w:val="0"/>
                <w:numId w:val="10"/>
              </w:numPr>
              <w:suppressAutoHyphens w:val="0"/>
              <w:autoSpaceDE w:val="0"/>
              <w:autoSpaceDN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</w:t>
            </w:r>
            <w:r w:rsidRPr="00ED0530">
              <w:rPr>
                <w:rFonts w:ascii="Arial" w:hAnsi="Arial" w:cs="Arial"/>
                <w:color w:val="000000"/>
              </w:rPr>
              <w:t>ara la presente cuota, reali</w:t>
            </w:r>
            <w:r>
              <w:rPr>
                <w:rFonts w:ascii="Arial" w:hAnsi="Arial" w:cs="Arial"/>
                <w:color w:val="000000"/>
              </w:rPr>
              <w:t xml:space="preserve">cé un </w:t>
            </w:r>
            <w:r w:rsidRPr="00ED0530">
              <w:rPr>
                <w:rFonts w:ascii="Arial" w:hAnsi="Arial" w:cs="Arial"/>
                <w:color w:val="000000"/>
              </w:rPr>
              <w:t xml:space="preserve"> informe de análisis de cumplimiento documental y gestión operativa de los programas CICLOVIDA, SOBRE RUEDAS y DEPORTE AL BARRIO. Este análisis se basó en la revisión remota de la información documentada del Sistema de Gestión de Calidad (SGC) correspondiente al periodo de julio a octubre de 2025, con el fin de identificar fortalezas, brechas y proponer </w:t>
            </w:r>
            <w:r w:rsidRPr="00ED0530">
              <w:rPr>
                <w:rFonts w:ascii="Arial" w:hAnsi="Arial" w:cs="Arial"/>
                <w:color w:val="000000"/>
              </w:rPr>
              <w:lastRenderedPageBreak/>
              <w:t>acciones para mejorar la calidad de la gestión institucional en concordancia con los lineamientos de la Norma Técnica ISO 9001:2015.</w:t>
            </w:r>
          </w:p>
          <w:p w14:paraId="3654F983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74F4E377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Desempeño Documental por Programa:</w:t>
            </w:r>
          </w:p>
          <w:p w14:paraId="71C73401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0222FA3C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El informe concluye que existe un desempeño diferencial en el cumplimiento documental entre las tres líneas. CICLOVIDA muestra el mejor nivel con un cumplimiento global del 81%, reflejando un diseño de procesos sólido; sin embargo, presenta rezagos en la actualización mensual de soportes y la formalización del acta de auditoría interna. SOBRE RUEDAS se encuentra en un nivel medio con 67% de cumplimiento, con desafíos en la consistencia documental, la alineación de bases de datos de personal y la evaluación de la oportunidad en la prestación del servicio. DEPORTE AL BARRIO presenta el rezago más significativo con solo el 37% de cumplimiento, evidenciando debilidades en la documentación de la cadena completa de capacitación, la gestión de PQRSD y la necesidad de fortalecer su cultura de registro formal.</w:t>
            </w:r>
          </w:p>
          <w:p w14:paraId="12E68A9E" w14:textId="77777777" w:rsidR="00617ACF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3160996E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61EAED1F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Hallazgos Transversales Clave:</w:t>
            </w:r>
          </w:p>
          <w:p w14:paraId="0C97A824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311A1371" w14:textId="77777777" w:rsidR="00617ACF" w:rsidRPr="00ED0530" w:rsidRDefault="00617ACF" w:rsidP="00617ACF">
            <w:pPr>
              <w:widowControl/>
              <w:numPr>
                <w:ilvl w:val="0"/>
                <w:numId w:val="11"/>
              </w:numPr>
              <w:suppressAutoHyphens w:val="0"/>
              <w:autoSpaceDE w:val="0"/>
              <w:autoSpaceDN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De forma transversal, se identifican problemas comunes que afectan la trazabilidad y la evaluación oportuna de la operación:</w:t>
            </w:r>
          </w:p>
          <w:p w14:paraId="5068AFE4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5B308F80" w14:textId="77777777" w:rsidR="00617ACF" w:rsidRPr="00ED0530" w:rsidRDefault="00617ACF" w:rsidP="00617ACF">
            <w:pPr>
              <w:widowControl/>
              <w:numPr>
                <w:ilvl w:val="0"/>
                <w:numId w:val="11"/>
              </w:numPr>
              <w:suppressAutoHyphens w:val="0"/>
              <w:autoSpaceDE w:val="0"/>
              <w:autoSpaceDN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 xml:space="preserve">Retrasos Acumulativos: Faltantes recurrentes en las evidencias de </w:t>
            </w:r>
            <w:r w:rsidRPr="00ED0530">
              <w:rPr>
                <w:rFonts w:ascii="Arial" w:hAnsi="Arial" w:cs="Arial"/>
                <w:color w:val="000000"/>
              </w:rPr>
              <w:lastRenderedPageBreak/>
              <w:t>los meses más recientes, particularmente julio a octubre.</w:t>
            </w:r>
          </w:p>
          <w:p w14:paraId="70FDFAE3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5A8ECB0D" w14:textId="77777777" w:rsidR="00617ACF" w:rsidRPr="00ED0530" w:rsidRDefault="00617ACF" w:rsidP="00617ACF">
            <w:pPr>
              <w:widowControl/>
              <w:numPr>
                <w:ilvl w:val="0"/>
                <w:numId w:val="11"/>
              </w:numPr>
              <w:suppressAutoHyphens w:val="0"/>
              <w:autoSpaceDE w:val="0"/>
              <w:autoSpaceDN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Inconsistencia de Bases: Diferencias entre el número de monitores y zonales registrados, contratos vigentes y formatos diligenciados, indicando baja sincronización entre áreas.</w:t>
            </w:r>
          </w:p>
          <w:p w14:paraId="3310A3D7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206A3B16" w14:textId="77777777" w:rsidR="00617ACF" w:rsidRPr="00ED0530" w:rsidRDefault="00617ACF" w:rsidP="00617ACF">
            <w:pPr>
              <w:widowControl/>
              <w:numPr>
                <w:ilvl w:val="0"/>
                <w:numId w:val="11"/>
              </w:numPr>
              <w:suppressAutoHyphens w:val="0"/>
              <w:autoSpaceDE w:val="0"/>
              <w:autoSpaceDN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Necesidad de Formalización: Uso de notas o aclaraciones informales en lugar de documentos oficiales (actas o informes técnicos) para justificar actividades o decisiones importantes.</w:t>
            </w:r>
          </w:p>
          <w:p w14:paraId="26697583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36CDF71C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Recomendaciones Prioritarias:</w:t>
            </w:r>
          </w:p>
          <w:p w14:paraId="168DC2D1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ind w:left="708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57779701" w14:textId="77777777" w:rsidR="00617ACF" w:rsidRPr="00ED0530" w:rsidRDefault="00617ACF" w:rsidP="00617ACF">
            <w:pPr>
              <w:widowControl/>
              <w:numPr>
                <w:ilvl w:val="0"/>
                <w:numId w:val="12"/>
              </w:numPr>
              <w:suppressAutoHyphens w:val="0"/>
              <w:autoSpaceDE w:val="0"/>
              <w:autoSpaceDN w:val="0"/>
              <w:adjustRightInd w:val="0"/>
              <w:ind w:left="72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Para mejorar el cumplimiento del SGC, se proponen las siguientes acciones:</w:t>
            </w:r>
          </w:p>
          <w:p w14:paraId="21E8DB5B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7D33EB4D" w14:textId="77777777" w:rsidR="00617ACF" w:rsidRPr="00ED0530" w:rsidRDefault="00617ACF" w:rsidP="00617ACF">
            <w:pPr>
              <w:widowControl/>
              <w:numPr>
                <w:ilvl w:val="0"/>
                <w:numId w:val="12"/>
              </w:numPr>
              <w:suppressAutoHyphens w:val="0"/>
              <w:autoSpaceDE w:val="0"/>
              <w:autoSpaceDN w:val="0"/>
              <w:adjustRightInd w:val="0"/>
              <w:ind w:left="72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Planificación y Cierre Mensual: Implementar un cronograma mensual de revisión documental con fechas fijas de corte y seguimiento para evitar la acumulación de rezagos.</w:t>
            </w:r>
          </w:p>
          <w:p w14:paraId="4BD6E07C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0D6EC41A" w14:textId="77777777" w:rsidR="00617ACF" w:rsidRPr="00ED0530" w:rsidRDefault="00617ACF" w:rsidP="00617ACF">
            <w:pPr>
              <w:widowControl/>
              <w:numPr>
                <w:ilvl w:val="0"/>
                <w:numId w:val="12"/>
              </w:numPr>
              <w:suppressAutoHyphens w:val="0"/>
              <w:autoSpaceDE w:val="0"/>
              <w:autoSpaceDN w:val="0"/>
              <w:adjustRightInd w:val="0"/>
              <w:ind w:left="72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Formalización Documental: Sustituir las notas aclaratorias informales por actas formales de la Alcaldía de Cali para justificar decisiones.</w:t>
            </w:r>
          </w:p>
          <w:p w14:paraId="6D65BEC2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735403D9" w14:textId="77777777" w:rsidR="00617ACF" w:rsidRDefault="00617ACF" w:rsidP="00617ACF">
            <w:pPr>
              <w:widowControl/>
              <w:numPr>
                <w:ilvl w:val="0"/>
                <w:numId w:val="12"/>
              </w:numPr>
              <w:suppressAutoHyphens w:val="0"/>
              <w:autoSpaceDE w:val="0"/>
              <w:autoSpaceDN w:val="0"/>
              <w:adjustRightInd w:val="0"/>
              <w:ind w:left="72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>Actualización de Bases: Realizar una auditoría interna cruzada para asegurar la concordancia total entre bases de personal operativo, contratos vigentes y formatos diligenciados.</w:t>
            </w:r>
          </w:p>
          <w:p w14:paraId="792480E8" w14:textId="77777777" w:rsidR="00617ACF" w:rsidRPr="00ED0530" w:rsidRDefault="00617ACF" w:rsidP="00617ACF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color w:val="000000"/>
              </w:rPr>
            </w:pPr>
          </w:p>
          <w:p w14:paraId="15DF53C8" w14:textId="77777777" w:rsidR="00617ACF" w:rsidRDefault="00617ACF" w:rsidP="00617ACF">
            <w:pPr>
              <w:widowControl/>
              <w:numPr>
                <w:ilvl w:val="0"/>
                <w:numId w:val="12"/>
              </w:numPr>
              <w:suppressAutoHyphens w:val="0"/>
              <w:autoSpaceDE w:val="0"/>
              <w:autoSpaceDN w:val="0"/>
              <w:adjustRightInd w:val="0"/>
              <w:ind w:left="72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ED0530">
              <w:rPr>
                <w:rFonts w:ascii="Arial" w:hAnsi="Arial" w:cs="Arial"/>
                <w:color w:val="000000"/>
              </w:rPr>
              <w:t xml:space="preserve">Fortalecimiento en Deporte al Barrio: Diseñar y documentar la cadena completa de capacitación (plan, ejecución y retroalimentación) y aumentar la </w:t>
            </w:r>
            <w:r w:rsidRPr="00ED0530">
              <w:rPr>
                <w:rFonts w:ascii="Arial" w:hAnsi="Arial" w:cs="Arial"/>
                <w:color w:val="000000"/>
              </w:rPr>
              <w:lastRenderedPageBreak/>
              <w:t>cobertura y el registro formal de las evaluaciones de oportunidad.</w:t>
            </w:r>
          </w:p>
          <w:p w14:paraId="339DD502" w14:textId="77777777" w:rsidR="00617ACF" w:rsidRDefault="00617ACF" w:rsidP="00617ACF">
            <w:pPr>
              <w:pStyle w:val="Prrafodelista"/>
              <w:rPr>
                <w:rFonts w:ascii="Arial" w:hAnsi="Arial" w:cs="Arial"/>
                <w:color w:val="000000"/>
              </w:rPr>
            </w:pPr>
          </w:p>
          <w:p w14:paraId="19963023" w14:textId="2296FFC8" w:rsidR="00617ACF" w:rsidRPr="00617ACF" w:rsidRDefault="00617ACF" w:rsidP="00617ACF">
            <w:pPr>
              <w:widowControl/>
              <w:numPr>
                <w:ilvl w:val="0"/>
                <w:numId w:val="12"/>
              </w:numPr>
              <w:suppressAutoHyphens w:val="0"/>
              <w:autoSpaceDE w:val="0"/>
              <w:autoSpaceDN w:val="0"/>
              <w:adjustRightInd w:val="0"/>
              <w:ind w:left="720"/>
              <w:jc w:val="both"/>
              <w:textAlignment w:val="auto"/>
              <w:rPr>
                <w:rFonts w:ascii="Arial" w:hAnsi="Arial" w:cs="Arial"/>
                <w:color w:val="000000"/>
              </w:rPr>
            </w:pPr>
            <w:r w:rsidRPr="00617ACF">
              <w:rPr>
                <w:rFonts w:ascii="Arial" w:hAnsi="Arial" w:cs="Arial"/>
                <w:color w:val="000000"/>
              </w:rPr>
              <w:t>Mejora de Informes Técnicos: Estandarizar los formatos de informes para incluir análisis cuantitativos, cualitativos y evidencias gráficas, facilitando su uso en la toma de decisiones.</w:t>
            </w:r>
          </w:p>
          <w:p w14:paraId="37157F20" w14:textId="08840291" w:rsidR="00617ACF" w:rsidRPr="00596408" w:rsidRDefault="00617ACF" w:rsidP="00617ACF">
            <w:pPr>
              <w:pStyle w:val="TableParagraph"/>
              <w:spacing w:line="274" w:lineRule="exact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617ACF" w14:paraId="544B5825" w14:textId="77777777" w:rsidTr="00596408">
        <w:trPr>
          <w:trHeight w:val="1222"/>
          <w:jc w:val="center"/>
        </w:trPr>
        <w:tc>
          <w:tcPr>
            <w:tcW w:w="564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AB57D03" w14:textId="33303BAD" w:rsidR="00617ACF" w:rsidRPr="00596408" w:rsidRDefault="00617ACF" w:rsidP="00617A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MEDIO DE VERIFICACIÓN:</w:t>
            </w:r>
          </w:p>
        </w:tc>
        <w:tc>
          <w:tcPr>
            <w:tcW w:w="439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79C2A69" w14:textId="0E5A2453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7E73D923" w14:textId="61221704" w:rsidR="00617ACF" w:rsidRDefault="00617ACF" w:rsidP="00617ACF">
            <w:pPr>
              <w:pStyle w:val="TableParagraph"/>
              <w:spacing w:line="274" w:lineRule="exact"/>
              <w:ind w:left="360"/>
              <w:jc w:val="both"/>
              <w:rPr>
                <w:rFonts w:eastAsia="Calibri"/>
                <w:sz w:val="24"/>
                <w:szCs w:val="24"/>
                <w:lang w:val="es-CO" w:eastAsia="es-CO"/>
              </w:rPr>
            </w:pPr>
            <w:hyperlink r:id="rId8" w:history="1">
              <w:r w:rsidRPr="00974405">
                <w:rPr>
                  <w:rStyle w:val="Hipervnculo"/>
                  <w:rFonts w:eastAsia="Calibri"/>
                  <w:sz w:val="24"/>
                  <w:szCs w:val="24"/>
                  <w:lang w:val="es-CO" w:eastAsia="es-CO"/>
                </w:rPr>
                <w:t>https://drive.google.com/drive/folders/135KFOaBZNNub7O1177sNJKIqskhDICaJ</w:t>
              </w:r>
            </w:hyperlink>
            <w:r>
              <w:rPr>
                <w:rFonts w:eastAsia="Calibri"/>
                <w:sz w:val="24"/>
                <w:szCs w:val="24"/>
                <w:lang w:val="es-CO" w:eastAsia="es-CO"/>
              </w:rPr>
              <w:t xml:space="preserve"> </w:t>
            </w:r>
          </w:p>
          <w:p w14:paraId="6E37BF60" w14:textId="2F233FE1" w:rsidR="00617ACF" w:rsidRDefault="00617ACF" w:rsidP="00617ACF">
            <w:pPr>
              <w:pStyle w:val="TableParagraph"/>
              <w:spacing w:line="274" w:lineRule="exact"/>
              <w:jc w:val="both"/>
              <w:rPr>
                <w:rFonts w:eastAsia="Calibri"/>
                <w:sz w:val="24"/>
                <w:szCs w:val="24"/>
                <w:lang w:val="es-CO" w:eastAsia="es-CO"/>
              </w:rPr>
            </w:pPr>
          </w:p>
          <w:p w14:paraId="2F89CB5C" w14:textId="354615CB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617ACF" w14:paraId="44653389" w14:textId="77777777" w:rsidTr="00596408">
        <w:trPr>
          <w:trHeight w:val="417"/>
          <w:jc w:val="center"/>
        </w:trPr>
        <w:tc>
          <w:tcPr>
            <w:tcW w:w="564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9816778" w14:textId="77777777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439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46B533E" w14:textId="77777777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617ACF" w14:paraId="2FE3BC03" w14:textId="77777777" w:rsidTr="00596408">
        <w:trPr>
          <w:trHeight w:val="1401"/>
          <w:jc w:val="center"/>
        </w:trPr>
        <w:tc>
          <w:tcPr>
            <w:tcW w:w="564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976E994" w14:textId="77777777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439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1EBD8A9" w14:textId="4820F0AC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inline distT="114300" distB="114300" distL="114300" distR="114300" wp14:anchorId="32BDD3D9" wp14:editId="3774EBBF">
                  <wp:extent cx="2095500" cy="740246"/>
                  <wp:effectExtent l="0" t="0" r="0" b="3175"/>
                  <wp:docPr id="2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3403" t="50062" r="56500" b="435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7402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7ACF" w14:paraId="09C9936B" w14:textId="77777777">
        <w:trPr>
          <w:trHeight w:val="920"/>
          <w:jc w:val="center"/>
        </w:trPr>
        <w:tc>
          <w:tcPr>
            <w:tcW w:w="564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EB09927" w14:textId="77777777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439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7F053BE" w14:textId="44BE108B" w:rsidR="00617ACF" w:rsidRDefault="00617ACF" w:rsidP="00617AC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21/Nov/2025</w:t>
            </w:r>
          </w:p>
        </w:tc>
      </w:tr>
    </w:tbl>
    <w:p w14:paraId="152918DC" w14:textId="77777777" w:rsidR="005D3EDF" w:rsidRDefault="005D3EDF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5D3EDF">
      <w:headerReference w:type="default" r:id="rId11"/>
      <w:footerReference w:type="default" r:id="rId12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7DE7C0" w14:textId="77777777" w:rsidR="00853A9D" w:rsidRDefault="00853A9D">
      <w:r>
        <w:separator/>
      </w:r>
    </w:p>
  </w:endnote>
  <w:endnote w:type="continuationSeparator" w:id="0">
    <w:p w14:paraId="003E3235" w14:textId="77777777" w:rsidR="00853A9D" w:rsidRDefault="00853A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2B46721-BC34-4366-8F8D-69CF76B6AE23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61558C00-3319-4FE1-BBC6-90C41E1404D7}"/>
    <w:embedItalic r:id="rId3" w:fontKey="{2CDF9F93-20E9-4FE3-B18C-198B22874660}"/>
  </w:font>
  <w:font w:name="Arial MT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C0C12BA-2299-416A-ABCC-94D60F6C072D}"/>
    <w:embedItalic r:id="rId5" w:fontKey="{CF84570C-9A21-4711-8BCC-21CE2D2CC9A8}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2639B0F-3910-4AA8-B299-0D30EFD6C0C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DAE9759F-81F6-4295-9E3E-0A0D4695AE5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1A3D8A44-1EB9-450D-9819-6358FD9F4F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FE735F" w14:textId="77777777" w:rsidR="005D3EDF" w:rsidRDefault="00C82E2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746AE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746AE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C9CCA77" w14:textId="77777777" w:rsidR="005D3EDF" w:rsidRDefault="005D3ED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61037F6" w14:textId="77777777" w:rsidR="005D3EDF" w:rsidRDefault="005D3ED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EED481" w14:textId="77777777" w:rsidR="00853A9D" w:rsidRDefault="00853A9D">
      <w:r>
        <w:separator/>
      </w:r>
    </w:p>
  </w:footnote>
  <w:footnote w:type="continuationSeparator" w:id="0">
    <w:p w14:paraId="374A1752" w14:textId="77777777" w:rsidR="00853A9D" w:rsidRDefault="00853A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94427" w14:textId="77777777" w:rsidR="005D3EDF" w:rsidRDefault="005D3ED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B786C3A" w14:textId="77777777" w:rsidR="005D3EDF" w:rsidRDefault="005D3ED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2B9A"/>
    <w:multiLevelType w:val="hybridMultilevel"/>
    <w:tmpl w:val="65E434CE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FA81AF7"/>
    <w:multiLevelType w:val="hybridMultilevel"/>
    <w:tmpl w:val="40CAD9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AF1D1C"/>
    <w:multiLevelType w:val="multilevel"/>
    <w:tmpl w:val="CA580942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CA1E65"/>
    <w:multiLevelType w:val="hybridMultilevel"/>
    <w:tmpl w:val="4C8C1782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C5215F"/>
    <w:multiLevelType w:val="multilevel"/>
    <w:tmpl w:val="D7EC3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E581B43"/>
    <w:multiLevelType w:val="hybridMultilevel"/>
    <w:tmpl w:val="FA589C2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1C757F2"/>
    <w:multiLevelType w:val="hybridMultilevel"/>
    <w:tmpl w:val="753CFC9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9253AB"/>
    <w:multiLevelType w:val="hybridMultilevel"/>
    <w:tmpl w:val="8A649E3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196489"/>
    <w:multiLevelType w:val="multilevel"/>
    <w:tmpl w:val="5E9A90B2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7D253C8B"/>
    <w:multiLevelType w:val="hybridMultilevel"/>
    <w:tmpl w:val="A13032D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29532B"/>
    <w:multiLevelType w:val="multilevel"/>
    <w:tmpl w:val="B7F2430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E6A080F"/>
    <w:multiLevelType w:val="multilevel"/>
    <w:tmpl w:val="8F8C6CA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8"/>
  </w:num>
  <w:num w:numId="3">
    <w:abstractNumId w:val="10"/>
  </w:num>
  <w:num w:numId="4">
    <w:abstractNumId w:val="11"/>
  </w:num>
  <w:num w:numId="5">
    <w:abstractNumId w:val="7"/>
  </w:num>
  <w:num w:numId="6">
    <w:abstractNumId w:val="9"/>
  </w:num>
  <w:num w:numId="7">
    <w:abstractNumId w:val="1"/>
  </w:num>
  <w:num w:numId="8">
    <w:abstractNumId w:val="4"/>
  </w:num>
  <w:num w:numId="9">
    <w:abstractNumId w:val="5"/>
  </w:num>
  <w:num w:numId="10">
    <w:abstractNumId w:val="3"/>
  </w:num>
  <w:num w:numId="11">
    <w:abstractNumId w:val="6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3EDF"/>
    <w:rsid w:val="00166D93"/>
    <w:rsid w:val="00196AA9"/>
    <w:rsid w:val="002460FF"/>
    <w:rsid w:val="002657A0"/>
    <w:rsid w:val="003E6F07"/>
    <w:rsid w:val="00485AA5"/>
    <w:rsid w:val="00596408"/>
    <w:rsid w:val="005D3EDF"/>
    <w:rsid w:val="00617ACF"/>
    <w:rsid w:val="007F0FFE"/>
    <w:rsid w:val="00853A9D"/>
    <w:rsid w:val="008921D6"/>
    <w:rsid w:val="009746AE"/>
    <w:rsid w:val="00A064BB"/>
    <w:rsid w:val="00A11DFD"/>
    <w:rsid w:val="00A137BE"/>
    <w:rsid w:val="00A21DA8"/>
    <w:rsid w:val="00C82E22"/>
    <w:rsid w:val="00FD3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3DBD4E"/>
  <w15:docId w15:val="{26B559BF-0CC0-4620-8AA8-A12922D3E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textAlignment w:val="baseline"/>
    </w:pPr>
    <w:rPr>
      <w:kern w:val="2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uiPriority w:val="99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uiPriority w:val="99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val="es-ES" w:eastAsia="en-US" w:bidi="ar-SA"/>
    </w:rPr>
  </w:style>
  <w:style w:type="character" w:styleId="Hipervnculo">
    <w:name w:val="Hyperlink"/>
    <w:basedOn w:val="Fuentedeprrafopredeter"/>
    <w:uiPriority w:val="99"/>
    <w:unhideWhenUsed/>
    <w:rsid w:val="002679CD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679CD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35KFOaBZNNub7O1177sNJKIqskhDICaJ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Di5wI46ynz6SrxeZIST+u+5WmQ==">CgMxLjA4AHIhMU80U0p1QWFDN0J0TDJJZnZCdnpUR0JraHdvWW1nZGVp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819</Words>
  <Characters>4505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john</cp:lastModifiedBy>
  <cp:revision>10</cp:revision>
  <cp:lastPrinted>2025-06-09T16:39:00Z</cp:lastPrinted>
  <dcterms:created xsi:type="dcterms:W3CDTF">2025-06-06T04:28:00Z</dcterms:created>
  <dcterms:modified xsi:type="dcterms:W3CDTF">2025-11-19T21:14:00Z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